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5B57" w:rsidRPr="00914E94" w:rsidRDefault="00B238F7">
      <w:pPr>
        <w:pStyle w:val="Corps"/>
        <w:jc w:val="right"/>
        <w:rPr>
          <w:rStyle w:val="Aucun"/>
          <w:sz w:val="20"/>
          <w:szCs w:val="20"/>
          <w:lang w:val="fr-FR"/>
        </w:rPr>
      </w:pPr>
      <w:r w:rsidRPr="00914E94">
        <w:rPr>
          <w:rStyle w:val="Aucun"/>
          <w:sz w:val="20"/>
          <w:szCs w:val="20"/>
          <w:lang w:val="fr-FR"/>
        </w:rPr>
        <w:t>NOTE AUX ORGAS</w:t>
      </w:r>
    </w:p>
    <w:p w:rsidR="004F5B57" w:rsidRPr="00914E94" w:rsidRDefault="00B238F7">
      <w:pPr>
        <w:pStyle w:val="Corps"/>
        <w:jc w:val="center"/>
        <w:rPr>
          <w:rStyle w:val="Aucun"/>
          <w:b/>
          <w:bCs/>
          <w:sz w:val="32"/>
          <w:szCs w:val="32"/>
          <w:lang w:val="fr-FR"/>
        </w:rPr>
      </w:pPr>
      <w:r>
        <w:rPr>
          <w:rStyle w:val="Aucun"/>
          <w:rFonts w:ascii="Times New Roman" w:eastAsia="Times New Roman" w:hAnsi="Times New Roman" w:cs="Times New Roman"/>
          <w:noProof/>
          <w:color w:val="00000A"/>
          <w:u w:color="00000A"/>
          <w:vertAlign w:val="superscript"/>
          <w:lang w:val="fr-F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7620</wp:posOffset>
            </wp:positionV>
            <wp:extent cx="800100" cy="933450"/>
            <wp:effectExtent l="0" t="0" r="0" b="0"/>
            <wp:wrapSquare wrapText="bothSides" distT="57150" distB="57150" distL="57150" distR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5B57" w:rsidRPr="00914E94" w:rsidRDefault="00B238F7">
      <w:pPr>
        <w:pStyle w:val="Corps"/>
        <w:jc w:val="center"/>
        <w:rPr>
          <w:lang w:val="fr-FR"/>
        </w:rPr>
      </w:pPr>
      <w:r>
        <w:rPr>
          <w:rStyle w:val="Aucun"/>
          <w:b/>
          <w:bCs/>
          <w:sz w:val="32"/>
          <w:szCs w:val="32"/>
          <w:lang w:val="fr-FR"/>
        </w:rPr>
        <w:t>Il faut une transformation profonde</w:t>
      </w:r>
    </w:p>
    <w:p w:rsidR="004F5B57" w:rsidRPr="00914E94" w:rsidRDefault="00B238F7">
      <w:pPr>
        <w:pStyle w:val="Corps"/>
        <w:jc w:val="center"/>
        <w:rPr>
          <w:rStyle w:val="Aucun"/>
          <w:b/>
          <w:bCs/>
          <w:sz w:val="32"/>
          <w:szCs w:val="32"/>
          <w:lang w:val="fr-FR"/>
        </w:rPr>
      </w:pPr>
      <w:proofErr w:type="gramStart"/>
      <w:r>
        <w:rPr>
          <w:rStyle w:val="Aucun"/>
          <w:b/>
          <w:bCs/>
          <w:sz w:val="32"/>
          <w:szCs w:val="32"/>
          <w:lang w:val="fr-FR"/>
        </w:rPr>
        <w:t>du</w:t>
      </w:r>
      <w:proofErr w:type="gramEnd"/>
      <w:r>
        <w:rPr>
          <w:rStyle w:val="Aucun"/>
          <w:b/>
          <w:bCs/>
          <w:sz w:val="32"/>
          <w:szCs w:val="32"/>
          <w:lang w:val="fr-FR"/>
        </w:rPr>
        <w:t xml:space="preserve"> système de santé au travail</w:t>
      </w:r>
    </w:p>
    <w:p w:rsidR="004F5B57" w:rsidRPr="00914E94" w:rsidRDefault="004F5B57">
      <w:pPr>
        <w:pStyle w:val="Corps"/>
        <w:jc w:val="center"/>
        <w:rPr>
          <w:sz w:val="16"/>
          <w:lang w:val="fr-FR"/>
        </w:rPr>
      </w:pPr>
    </w:p>
    <w:p w:rsidR="004F5B57" w:rsidRPr="00BE022F" w:rsidRDefault="00B238F7">
      <w:pPr>
        <w:pStyle w:val="Corps"/>
        <w:jc w:val="both"/>
        <w:rPr>
          <w:lang w:val="fr-FR"/>
        </w:rPr>
      </w:pPr>
      <w:r w:rsidRPr="00BE022F">
        <w:rPr>
          <w:rStyle w:val="Aucun"/>
          <w:lang w:val="fr-FR"/>
        </w:rPr>
        <w:t>La CGT porte un syndicalisme qui permet aux travailleur</w:t>
      </w:r>
      <w:r w:rsidR="009909FC">
        <w:rPr>
          <w:rStyle w:val="Aucun"/>
          <w:lang w:val="fr-FR"/>
        </w:rPr>
        <w:t>s</w:t>
      </w:r>
      <w:r w:rsidRPr="00BE022F">
        <w:rPr>
          <w:rStyle w:val="Aucun"/>
          <w:lang w:val="fr-FR"/>
        </w:rPr>
        <w:t xml:space="preserve"> d'</w:t>
      </w:r>
      <w:r w:rsidRPr="00BE022F">
        <w:rPr>
          <w:rStyle w:val="Aucun"/>
          <w:lang w:val="fr-FR"/>
        </w:rPr>
        <w:t>ê</w:t>
      </w:r>
      <w:r w:rsidRPr="00BE022F">
        <w:rPr>
          <w:rStyle w:val="Aucun"/>
          <w:lang w:val="fr-FR"/>
        </w:rPr>
        <w:t>tre les acteurs, les citoyens de leur propre vie professionnelle.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>De ce fondement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coulent toutes les </w:t>
      </w:r>
      <w:r w:rsidRPr="00BE022F">
        <w:rPr>
          <w:rStyle w:val="Aucun"/>
          <w:lang w:val="fr-FR"/>
        </w:rPr>
        <w:t>capacit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s, individuelles et collectives,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>construire au quotidien, la sant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physique, mentale et sociale au travail. Cela implique que notre syst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me de sant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au travail</w:t>
      </w:r>
      <w:r w:rsidR="00914E94" w:rsidRPr="00BE022F">
        <w:rPr>
          <w:rStyle w:val="Aucun"/>
          <w:lang w:val="fr-FR"/>
        </w:rPr>
        <w:t xml:space="preserve"> puisse </w:t>
      </w:r>
      <w:r w:rsidRPr="00BE022F">
        <w:rPr>
          <w:rStyle w:val="Aucun"/>
          <w:lang w:val="fr-FR"/>
        </w:rPr>
        <w:t>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pond</w:t>
      </w:r>
      <w:r w:rsidR="00914E94" w:rsidRPr="00BE022F">
        <w:rPr>
          <w:rStyle w:val="Aucun"/>
          <w:lang w:val="fr-FR"/>
        </w:rPr>
        <w:t>r</w:t>
      </w:r>
      <w:r w:rsidRPr="00BE022F">
        <w:rPr>
          <w:rStyle w:val="Aucun"/>
          <w:lang w:val="fr-FR"/>
        </w:rPr>
        <w:t xml:space="preserve">e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>l'int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r</w:t>
      </w:r>
      <w:r w:rsidRPr="00BE022F">
        <w:rPr>
          <w:rStyle w:val="Aucun"/>
          <w:lang w:val="fr-FR"/>
        </w:rPr>
        <w:t>ê</w:t>
      </w:r>
      <w:r w:rsidRPr="00BE022F">
        <w:rPr>
          <w:rStyle w:val="Aucun"/>
          <w:lang w:val="fr-FR"/>
        </w:rPr>
        <w:t>t</w:t>
      </w:r>
      <w:r w:rsidR="000D623E">
        <w:rPr>
          <w:rStyle w:val="Aucun"/>
          <w:lang w:val="fr-FR"/>
        </w:rPr>
        <w:t xml:space="preserve"> de tous les </w:t>
      </w:r>
      <w:proofErr w:type="spellStart"/>
      <w:r w:rsidR="000D623E">
        <w:rPr>
          <w:rStyle w:val="Aucun"/>
          <w:lang w:val="fr-FR"/>
        </w:rPr>
        <w:t>travailleur</w:t>
      </w:r>
      <w:r w:rsidR="00FE7D56">
        <w:rPr>
          <w:rStyle w:val="Aucun"/>
          <w:lang w:val="fr-FR"/>
        </w:rPr>
        <w:t>.</w:t>
      </w:r>
      <w:r w:rsidR="000D623E">
        <w:rPr>
          <w:rStyle w:val="Aucun"/>
          <w:lang w:val="fr-FR"/>
        </w:rPr>
        <w:t>euse</w:t>
      </w:r>
      <w:r w:rsidR="00FE7D56">
        <w:rPr>
          <w:rStyle w:val="Aucun"/>
          <w:lang w:val="fr-FR"/>
        </w:rPr>
        <w:t>.</w:t>
      </w:r>
      <w:r w:rsidRPr="00BE022F">
        <w:rPr>
          <w:rStyle w:val="Aucun"/>
          <w:lang w:val="fr-FR"/>
        </w:rPr>
        <w:t>s</w:t>
      </w:r>
      <w:proofErr w:type="spellEnd"/>
      <w:r w:rsidRPr="00BE022F">
        <w:rPr>
          <w:rStyle w:val="Aucun"/>
          <w:lang w:val="fr-FR"/>
        </w:rPr>
        <w:t xml:space="preserve"> et ce, quel que soit leur statut.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 xml:space="preserve">Le </w:t>
      </w:r>
      <w:r w:rsidRPr="00BE022F">
        <w:rPr>
          <w:rStyle w:val="Aucun"/>
          <w:lang w:val="fr-FR"/>
        </w:rPr>
        <w:t>travail prend une part pr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pond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rante dans la vie de </w:t>
      </w:r>
      <w:proofErr w:type="spellStart"/>
      <w:r w:rsidRPr="00BE022F">
        <w:rPr>
          <w:rStyle w:val="Aucun"/>
          <w:lang w:val="fr-FR"/>
        </w:rPr>
        <w:t>chacun</w:t>
      </w:r>
      <w:r w:rsidR="00FE7D56">
        <w:rPr>
          <w:rStyle w:val="Aucun"/>
          <w:lang w:val="fr-FR"/>
        </w:rPr>
        <w:t>.</w:t>
      </w:r>
      <w:r w:rsidRPr="00BE022F">
        <w:rPr>
          <w:rStyle w:val="Aucun"/>
          <w:lang w:val="fr-FR"/>
        </w:rPr>
        <w:t>e</w:t>
      </w:r>
      <w:proofErr w:type="spellEnd"/>
      <w:r w:rsidRPr="00BE022F">
        <w:rPr>
          <w:rStyle w:val="Aucun"/>
          <w:lang w:val="fr-FR"/>
        </w:rPr>
        <w:t>, aussi Il ne s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agit pas de construire un syst</w:t>
      </w:r>
      <w:r w:rsidRPr="00BE022F">
        <w:rPr>
          <w:rStyle w:val="Aucun"/>
          <w:lang w:val="fr-FR"/>
        </w:rPr>
        <w:t>è</w:t>
      </w:r>
      <w:r w:rsidR="000D623E">
        <w:rPr>
          <w:rStyle w:val="Aucun"/>
          <w:lang w:val="fr-FR"/>
        </w:rPr>
        <w:t>me pour les travailleur</w:t>
      </w:r>
      <w:r w:rsidRPr="00BE022F">
        <w:rPr>
          <w:rStyle w:val="Aucun"/>
          <w:lang w:val="fr-FR"/>
        </w:rPr>
        <w:t xml:space="preserve">s, mais </w:t>
      </w:r>
      <w:r w:rsidR="00FE7D56">
        <w:rPr>
          <w:rStyle w:val="Aucun"/>
          <w:lang w:val="fr-FR"/>
        </w:rPr>
        <w:t xml:space="preserve">bien </w:t>
      </w:r>
      <w:r w:rsidRPr="00BE022F">
        <w:rPr>
          <w:rStyle w:val="Aucun"/>
          <w:lang w:val="fr-FR"/>
        </w:rPr>
        <w:t>un syst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me avec</w:t>
      </w:r>
      <w:r w:rsidRPr="00BE022F">
        <w:rPr>
          <w:rStyle w:val="Aucun"/>
          <w:lang w:val="fr-FR"/>
        </w:rPr>
        <w:t xml:space="preserve"> et par</w:t>
      </w:r>
      <w:r w:rsidRPr="00BE022F">
        <w:rPr>
          <w:rStyle w:val="Aucun"/>
          <w:lang w:val="fr-FR"/>
        </w:rPr>
        <w:t xml:space="preserve"> les travailleurs eux-m</w:t>
      </w:r>
      <w:r w:rsidRPr="00BE022F">
        <w:rPr>
          <w:rStyle w:val="Aucun"/>
          <w:lang w:val="fr-FR"/>
        </w:rPr>
        <w:t>ê</w:t>
      </w:r>
      <w:r w:rsidRPr="00BE022F">
        <w:rPr>
          <w:rStyle w:val="Aucun"/>
          <w:lang w:val="fr-FR"/>
        </w:rPr>
        <w:t>mes</w:t>
      </w:r>
      <w:r w:rsidR="00FE7D56">
        <w:rPr>
          <w:rStyle w:val="Aucun"/>
          <w:lang w:val="fr-FR"/>
        </w:rPr>
        <w:t>,</w:t>
      </w:r>
      <w:r w:rsidRPr="00BE022F">
        <w:rPr>
          <w:rStyle w:val="Aucun"/>
          <w:lang w:val="fr-FR"/>
        </w:rPr>
        <w:t xml:space="preserve"> pour qu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ils le prennent en main. C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 xml:space="preserve">est bien celles et </w:t>
      </w:r>
      <w:r w:rsidRPr="00BE022F">
        <w:rPr>
          <w:rStyle w:val="Aucun"/>
          <w:lang w:val="fr-FR"/>
        </w:rPr>
        <w:t>ceux qui travaillent qui sont les plus grands experts de leur travail.</w:t>
      </w:r>
    </w:p>
    <w:p w:rsidR="004F5B57" w:rsidRPr="00BE022F" w:rsidRDefault="00B238F7">
      <w:pPr>
        <w:pStyle w:val="Corps"/>
        <w:jc w:val="both"/>
        <w:rPr>
          <w:lang w:val="fr-FR"/>
        </w:rPr>
      </w:pPr>
      <w:r w:rsidRPr="00BE022F">
        <w:rPr>
          <w:rStyle w:val="Aucun"/>
          <w:lang w:val="fr-FR"/>
        </w:rPr>
        <w:t>Ce qui implique l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ouverture de droit</w:t>
      </w:r>
      <w:r w:rsidR="000D623E">
        <w:rPr>
          <w:rStyle w:val="Aucun"/>
          <w:lang w:val="fr-FR"/>
        </w:rPr>
        <w:t xml:space="preserve">s nouveaux pour </w:t>
      </w:r>
      <w:r w:rsidR="00FE7D56">
        <w:rPr>
          <w:rStyle w:val="Aucun"/>
          <w:lang w:val="fr-FR"/>
        </w:rPr>
        <w:t>toutes et tous</w:t>
      </w:r>
      <w:r w:rsidRPr="00BE022F">
        <w:rPr>
          <w:rStyle w:val="Aucun"/>
          <w:lang w:val="fr-FR"/>
        </w:rPr>
        <w:t>, qu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ils soient ou non salari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-e-s, permettant l'exercice de cette pleine action et citoyennet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>Les propositions</w:t>
      </w:r>
      <w:r w:rsidRPr="00BE022F">
        <w:rPr>
          <w:rStyle w:val="Aucun"/>
          <w:lang w:val="fr-FR"/>
        </w:rPr>
        <w:t xml:space="preserve"> de la CGT relatives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 xml:space="preserve">la </w:t>
      </w:r>
      <w:r w:rsidRPr="00BE022F">
        <w:rPr>
          <w:rStyle w:val="Aucun"/>
          <w:lang w:val="fr-FR"/>
        </w:rPr>
        <w:t>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forme du syst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me de sant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au travail, intriqu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 </w:t>
      </w:r>
      <w:r w:rsidRPr="00BE022F">
        <w:rPr>
          <w:rStyle w:val="Aucun"/>
          <w:lang w:val="fr-FR"/>
        </w:rPr>
        <w:t>dans une s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curit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sociale 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nov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e, portent ces enjeux et objectifs.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>Cette note, qui accompagne les propositions du groupe d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 xml:space="preserve">appui,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>l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objectif de les situer dans le contexte actuel</w:t>
      </w:r>
      <w:r w:rsidRPr="00BE022F">
        <w:rPr>
          <w:rStyle w:val="Aucun"/>
          <w:lang w:val="fr-FR"/>
        </w:rPr>
        <w:t xml:space="preserve"> et de faire le lien entre l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attitude du gouvernement et celle de la CGT.</w:t>
      </w:r>
    </w:p>
    <w:p w:rsidR="004F5B57" w:rsidRPr="00BE022F" w:rsidRDefault="00B238F7">
      <w:pPr>
        <w:pStyle w:val="Corps"/>
        <w:jc w:val="both"/>
        <w:rPr>
          <w:rStyle w:val="Aucun"/>
          <w:b/>
          <w:bCs/>
          <w:color w:val="C00000"/>
          <w:sz w:val="24"/>
          <w:szCs w:val="24"/>
          <w:u w:color="00000A"/>
          <w:lang w:val="fr-FR"/>
        </w:rPr>
      </w:pPr>
      <w:r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Contexte</w:t>
      </w:r>
      <w:r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 </w:t>
      </w:r>
      <w:r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: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>3 rapports sur la sant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 xml:space="preserve">au travail ont 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publi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s en septembre dernier</w:t>
      </w:r>
      <w:r w:rsidRPr="00BE022F">
        <w:rPr>
          <w:rStyle w:val="Aucun"/>
          <w:lang w:val="fr-FR"/>
        </w:rPr>
        <w:t> </w:t>
      </w:r>
      <w:r w:rsidRPr="00BE022F">
        <w:rPr>
          <w:rStyle w:val="Aucun"/>
          <w:lang w:val="fr-FR"/>
        </w:rPr>
        <w:t xml:space="preserve">: </w:t>
      </w:r>
    </w:p>
    <w:p w:rsidR="004F5B57" w:rsidRPr="00BE022F" w:rsidRDefault="00B238F7" w:rsidP="00BA444A">
      <w:pPr>
        <w:pStyle w:val="Paragraphedeliste"/>
        <w:numPr>
          <w:ilvl w:val="0"/>
          <w:numId w:val="2"/>
        </w:numPr>
        <w:spacing w:after="120"/>
        <w:ind w:left="714" w:hanging="357"/>
        <w:jc w:val="both"/>
      </w:pPr>
      <w:r w:rsidRPr="00BE022F">
        <w:t>le rapport Lecocq Dupuis Forest demand</w:t>
      </w:r>
      <w:r w:rsidRPr="00BE022F">
        <w:t xml:space="preserve">é </w:t>
      </w:r>
      <w:r w:rsidRPr="00BE022F">
        <w:t>par le gouvernement</w:t>
      </w:r>
      <w:r w:rsidRPr="00BE022F">
        <w:t> </w:t>
      </w:r>
      <w:r w:rsidRPr="00BE022F">
        <w:t>;</w:t>
      </w:r>
    </w:p>
    <w:p w:rsidR="004F5B57" w:rsidRPr="00BE022F" w:rsidRDefault="00B238F7" w:rsidP="00BA444A">
      <w:pPr>
        <w:pStyle w:val="Paragraphedeliste"/>
        <w:numPr>
          <w:ilvl w:val="0"/>
          <w:numId w:val="2"/>
        </w:numPr>
        <w:spacing w:after="120"/>
        <w:ind w:left="714" w:hanging="357"/>
        <w:jc w:val="both"/>
      </w:pPr>
      <w:r w:rsidRPr="00BE022F">
        <w:t xml:space="preserve">le rapport du Dr </w:t>
      </w:r>
      <w:proofErr w:type="spellStart"/>
      <w:r w:rsidRPr="00BE022F">
        <w:t>Frimat</w:t>
      </w:r>
      <w:proofErr w:type="spellEnd"/>
      <w:r w:rsidRPr="00BE022F">
        <w:t xml:space="preserve"> sur la pr</w:t>
      </w:r>
      <w:r w:rsidRPr="00BE022F">
        <w:t>é</w:t>
      </w:r>
      <w:r w:rsidRPr="00BE022F">
        <w:t>vention face aux agents chimiques dangereux</w:t>
      </w:r>
      <w:r w:rsidRPr="00BE022F">
        <w:t> </w:t>
      </w:r>
      <w:r w:rsidRPr="00BE022F">
        <w:t>;</w:t>
      </w:r>
    </w:p>
    <w:p w:rsidR="004F5B57" w:rsidRPr="00BE022F" w:rsidRDefault="00B238F7" w:rsidP="00BA444A">
      <w:pPr>
        <w:pStyle w:val="Paragraphedeliste"/>
        <w:numPr>
          <w:ilvl w:val="0"/>
          <w:numId w:val="2"/>
        </w:numPr>
        <w:spacing w:after="140"/>
        <w:ind w:left="714" w:hanging="357"/>
        <w:jc w:val="both"/>
      </w:pPr>
      <w:r w:rsidRPr="00BE022F">
        <w:t>et le rapport du d</w:t>
      </w:r>
      <w:r w:rsidRPr="00BE022F">
        <w:t>é</w:t>
      </w:r>
      <w:r w:rsidRPr="00BE022F">
        <w:t>put</w:t>
      </w:r>
      <w:r w:rsidRPr="00BE022F">
        <w:t xml:space="preserve">é </w:t>
      </w:r>
      <w:r w:rsidRPr="00BE022F">
        <w:t xml:space="preserve">Pierre </w:t>
      </w:r>
      <w:proofErr w:type="spellStart"/>
      <w:r w:rsidRPr="00BE022F">
        <w:t>Dahreville</w:t>
      </w:r>
      <w:proofErr w:type="spellEnd"/>
      <w:r w:rsidRPr="00BE022F">
        <w:t xml:space="preserve"> (sur les maladies et pathologies professionnelles dans l</w:t>
      </w:r>
      <w:r w:rsidRPr="00BE022F">
        <w:t>’</w:t>
      </w:r>
      <w:r w:rsidRPr="00BE022F">
        <w:t>industrie).</w:t>
      </w:r>
    </w:p>
    <w:p w:rsidR="004F5B57" w:rsidRPr="00BE022F" w:rsidRDefault="00B238F7">
      <w:pPr>
        <w:pStyle w:val="Corps"/>
        <w:jc w:val="both"/>
        <w:rPr>
          <w:lang w:val="fr-FR"/>
        </w:rPr>
      </w:pPr>
      <w:r w:rsidRPr="00BE022F">
        <w:rPr>
          <w:rStyle w:val="Aucun"/>
          <w:lang w:val="fr-FR"/>
        </w:rPr>
        <w:t>Chacun</w:t>
      </w:r>
      <w:r w:rsidR="00914E94" w:rsidRPr="00BE022F">
        <w:rPr>
          <w:rStyle w:val="Aucun"/>
          <w:lang w:val="fr-FR"/>
        </w:rPr>
        <w:t xml:space="preserve"> d’eux</w:t>
      </w:r>
      <w:r w:rsidRPr="00BE022F">
        <w:rPr>
          <w:rStyle w:val="Aucun"/>
          <w:lang w:val="fr-FR"/>
        </w:rPr>
        <w:t xml:space="preserve">,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>sa mani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re, c</w:t>
      </w:r>
      <w:r w:rsidR="00914E94" w:rsidRPr="00BE022F">
        <w:rPr>
          <w:rStyle w:val="Aucun"/>
          <w:lang w:val="fr-FR"/>
        </w:rPr>
        <w:t>onfirme le diagnostic de la CGT</w:t>
      </w:r>
      <w:r w:rsidRPr="00BE022F">
        <w:rPr>
          <w:rStyle w:val="Aucun"/>
          <w:lang w:val="fr-FR"/>
        </w:rPr>
        <w:t xml:space="preserve"> fait de longue date,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>savoir que ce syst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m</w:t>
      </w:r>
      <w:r w:rsidRPr="00BE022F">
        <w:rPr>
          <w:rStyle w:val="Aucun"/>
          <w:lang w:val="fr-FR"/>
        </w:rPr>
        <w:t>e est inefficace, et surtout injuste, car il couvre mal une partie des salari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s. </w:t>
      </w:r>
      <w:r w:rsidR="00914E94" w:rsidRPr="00BE022F">
        <w:rPr>
          <w:rStyle w:val="Aucun"/>
          <w:lang w:val="fr-FR"/>
        </w:rPr>
        <w:t>Les autres ne l</w:t>
      </w:r>
      <w:r w:rsidRPr="00BE022F">
        <w:rPr>
          <w:rStyle w:val="Aucun"/>
          <w:lang w:val="fr-FR"/>
        </w:rPr>
        <w:t>’é</w:t>
      </w:r>
      <w:r w:rsidRPr="00BE022F">
        <w:rPr>
          <w:rStyle w:val="Aucun"/>
          <w:lang w:val="fr-FR"/>
        </w:rPr>
        <w:t>tant pas du tout.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>A ces 3 rapports, s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ajoute celui sur les Indemnit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s Journali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res de la s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curit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sociale, qui va s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int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grer dans les discussions sur </w:t>
      </w:r>
      <w:r w:rsidRPr="00BE022F">
        <w:rPr>
          <w:rStyle w:val="Aucun"/>
          <w:lang w:val="fr-FR"/>
        </w:rPr>
        <w:t>la sant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au travail.</w:t>
      </w:r>
    </w:p>
    <w:p w:rsidR="004F5B57" w:rsidRPr="00BE022F" w:rsidRDefault="00B238F7">
      <w:pPr>
        <w:pStyle w:val="Corps"/>
        <w:jc w:val="both"/>
        <w:rPr>
          <w:rStyle w:val="Aucun"/>
          <w:b/>
          <w:bCs/>
          <w:color w:val="C00000"/>
          <w:sz w:val="24"/>
          <w:szCs w:val="24"/>
          <w:u w:color="00000A"/>
          <w:lang w:val="fr-FR"/>
        </w:rPr>
      </w:pPr>
      <w:r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L</w:t>
      </w:r>
      <w:r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’</w:t>
      </w:r>
      <w:r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attitude du gouvernement et du patronat</w:t>
      </w:r>
      <w:r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 </w:t>
      </w:r>
      <w:r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: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 xml:space="preserve">Suite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>la parution du communiqu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commun des conf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rations repr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sent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es au COCT</w:t>
      </w:r>
      <w:r w:rsidRPr="00BE022F">
        <w:rPr>
          <w:rStyle w:val="Aucun"/>
          <w:rFonts w:eastAsia="Helvetica" w:cs="Helvetica"/>
          <w:vertAlign w:val="superscript"/>
        </w:rPr>
        <w:footnoteReference w:id="2"/>
      </w:r>
      <w:r w:rsidRPr="00BE022F">
        <w:rPr>
          <w:rStyle w:val="Aucun"/>
          <w:lang w:val="fr-FR"/>
        </w:rPr>
        <w:t xml:space="preserve">, le gouvernement a 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contraint de 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agir. 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lastRenderedPageBreak/>
        <w:t>En effet, devant l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attitude unitaire et unanime des organisation</w:t>
      </w:r>
      <w:r w:rsidRPr="00BE022F">
        <w:rPr>
          <w:rStyle w:val="Aucun"/>
          <w:lang w:val="fr-FR"/>
        </w:rPr>
        <w:t>s syndicales, il propose au GPO</w:t>
      </w:r>
      <w:r w:rsidRPr="00BE022F">
        <w:rPr>
          <w:rStyle w:val="Aucun"/>
          <w:rFonts w:eastAsia="Helvetica" w:cs="Helvetica"/>
          <w:vertAlign w:val="superscript"/>
        </w:rPr>
        <w:footnoteReference w:id="3"/>
      </w:r>
      <w:r w:rsidRPr="00BE022F">
        <w:rPr>
          <w:rStyle w:val="Aucun"/>
          <w:lang w:val="fr-FR"/>
        </w:rPr>
        <w:t xml:space="preserve"> du COCT de travailler d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 xml:space="preserve">ici fin juin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>un document d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orientation qui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finirait les th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mes et les p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rim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tres (concertation, n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gociation) des discussions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>venir.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 xml:space="preserve">Le patronat est </w:t>
      </w:r>
      <w:r w:rsidR="00914E94" w:rsidRPr="00BE022F">
        <w:rPr>
          <w:rStyle w:val="Aucun"/>
          <w:lang w:val="fr-FR"/>
        </w:rPr>
        <w:t xml:space="preserve">quant à lui </w:t>
      </w:r>
      <w:r w:rsidRPr="00BE022F">
        <w:rPr>
          <w:rStyle w:val="Aucun"/>
          <w:lang w:val="fr-FR"/>
        </w:rPr>
        <w:t>divis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, en particulier sur la question des </w:t>
      </w:r>
      <w:r w:rsidRPr="00BE022F">
        <w:rPr>
          <w:rStyle w:val="Aucun"/>
          <w:lang w:val="fr-FR"/>
        </w:rPr>
        <w:t>Services de Sant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au Travail, qui est une grande source de financement pour ses structures. Il est par ailleurs embarrass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par le fait que les organisations syndicales, dans l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unit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, aient pris la main.</w:t>
      </w:r>
    </w:p>
    <w:p w:rsidR="004F5B57" w:rsidRPr="00BE022F" w:rsidRDefault="00914E94">
      <w:pPr>
        <w:pStyle w:val="Corps"/>
        <w:jc w:val="both"/>
        <w:rPr>
          <w:rStyle w:val="Aucun"/>
          <w:rFonts w:eastAsia="Helvetica" w:cs="Helvetica"/>
          <w:b/>
          <w:bCs/>
          <w:color w:val="C00000"/>
          <w:sz w:val="24"/>
          <w:szCs w:val="24"/>
          <w:u w:color="00000A"/>
          <w:lang w:val="fr-FR"/>
        </w:rPr>
      </w:pPr>
      <w:r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 xml:space="preserve">Concernant la </w:t>
      </w:r>
      <w:r w:rsidR="00B238F7"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CGT</w:t>
      </w:r>
      <w:r w:rsidR="00B238F7"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 </w:t>
      </w:r>
      <w:r w:rsidR="00B238F7" w:rsidRPr="00BE022F">
        <w:rPr>
          <w:rStyle w:val="Aucun"/>
          <w:b/>
          <w:bCs/>
          <w:color w:val="C00000"/>
          <w:sz w:val="24"/>
          <w:szCs w:val="24"/>
          <w:u w:color="00000A"/>
          <w:lang w:val="fr-FR"/>
        </w:rPr>
        <w:t>:</w:t>
      </w:r>
    </w:p>
    <w:p w:rsidR="004F5B57" w:rsidRPr="00BE022F" w:rsidRDefault="00B238F7">
      <w:pPr>
        <w:pStyle w:val="Corps"/>
        <w:jc w:val="both"/>
        <w:rPr>
          <w:rStyle w:val="Aucun"/>
          <w:lang w:val="fr-FR"/>
        </w:rPr>
      </w:pPr>
      <w:r w:rsidRPr="00BE022F">
        <w:rPr>
          <w:rStyle w:val="Aucun"/>
          <w:lang w:val="fr-FR"/>
        </w:rPr>
        <w:t>La CGT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nonce depuis plus de 10</w:t>
      </w:r>
      <w:r w:rsidRPr="00BE022F">
        <w:rPr>
          <w:rStyle w:val="Aucun"/>
          <w:lang w:val="fr-FR"/>
        </w:rPr>
        <w:t xml:space="preserve"> ans les cons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quences, le co</w:t>
      </w:r>
      <w:r w:rsidRPr="00BE022F">
        <w:rPr>
          <w:rStyle w:val="Aucun"/>
          <w:lang w:val="fr-FR"/>
        </w:rPr>
        <w:t>û</w:t>
      </w:r>
      <w:r w:rsidRPr="00BE022F">
        <w:rPr>
          <w:rStyle w:val="Aucun"/>
          <w:lang w:val="fr-FR"/>
        </w:rPr>
        <w:t>t, de ce qu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elle appelle le mal-travail. C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 xml:space="preserve">est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>dire une organisation et des conditions de travail qui entra</w:t>
      </w:r>
      <w:r w:rsidRPr="00BE022F">
        <w:rPr>
          <w:rStyle w:val="Aucun"/>
          <w:lang w:val="fr-FR"/>
        </w:rPr>
        <w:t>î</w:t>
      </w:r>
      <w:r w:rsidRPr="00BE022F">
        <w:rPr>
          <w:rStyle w:val="Aucun"/>
          <w:lang w:val="fr-FR"/>
        </w:rPr>
        <w:t>nent une perte de sens du travail, mais aussi des g</w:t>
      </w:r>
      <w:r w:rsidRPr="00BE022F">
        <w:rPr>
          <w:rStyle w:val="Aucun"/>
          <w:lang w:val="fr-FR"/>
        </w:rPr>
        <w:t>â</w:t>
      </w:r>
      <w:r w:rsidRPr="00BE022F">
        <w:rPr>
          <w:rStyle w:val="Aucun"/>
          <w:lang w:val="fr-FR"/>
        </w:rPr>
        <w:t xml:space="preserve">chis humains, 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conomiques et financiers qui se chiffrent en vies </w:t>
      </w:r>
      <w:r w:rsidRPr="00BE022F">
        <w:rPr>
          <w:rStyle w:val="Aucun"/>
          <w:lang w:val="fr-FR"/>
        </w:rPr>
        <w:t>humaines sacrifi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es,</w:t>
      </w:r>
      <w:r w:rsidRPr="00BE022F">
        <w:rPr>
          <w:rStyle w:val="Aucun"/>
          <w:lang w:val="fr-FR"/>
        </w:rPr>
        <w:t> </w:t>
      </w:r>
      <w:r w:rsidRPr="00BE022F">
        <w:rPr>
          <w:rStyle w:val="Aucun"/>
          <w:lang w:val="fr-FR"/>
        </w:rPr>
        <w:t>en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penses de 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paration par milliards pour la S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curit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Sociale et en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ficit d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efficacit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pour l</w:t>
      </w:r>
      <w:r w:rsidRPr="00BE022F">
        <w:rPr>
          <w:rStyle w:val="Aucun"/>
          <w:lang w:val="fr-FR"/>
        </w:rPr>
        <w:t>’é</w:t>
      </w:r>
      <w:r w:rsidRPr="00BE022F">
        <w:rPr>
          <w:rStyle w:val="Aucun"/>
          <w:lang w:val="fr-FR"/>
        </w:rPr>
        <w:t>conomie</w:t>
      </w:r>
      <w:r w:rsidRPr="00BE022F">
        <w:rPr>
          <w:rStyle w:val="Aucun"/>
          <w:lang w:val="fr-FR"/>
        </w:rPr>
        <w:t> </w:t>
      </w:r>
      <w:r w:rsidRPr="00BE022F">
        <w:rPr>
          <w:rStyle w:val="Aucun"/>
          <w:lang w:val="fr-FR"/>
        </w:rPr>
        <w:t>toute enti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re</w:t>
      </w:r>
      <w:r w:rsidRPr="00BE022F">
        <w:rPr>
          <w:rStyle w:val="Aucun"/>
          <w:lang w:val="fr-FR"/>
        </w:rPr>
        <w:t> </w:t>
      </w:r>
      <w:r w:rsidRPr="00BE022F">
        <w:rPr>
          <w:rStyle w:val="Aucun"/>
          <w:lang w:val="fr-FR"/>
        </w:rPr>
        <w:t>!</w:t>
      </w:r>
    </w:p>
    <w:p w:rsidR="004F5B57" w:rsidRPr="00BE022F" w:rsidRDefault="00B238F7">
      <w:pPr>
        <w:pStyle w:val="Corps"/>
        <w:jc w:val="both"/>
        <w:rPr>
          <w:rStyle w:val="Aucun"/>
          <w:lang w:val="fr-FR"/>
        </w:rPr>
      </w:pPr>
      <w:r w:rsidRPr="00BE022F">
        <w:rPr>
          <w:rStyle w:val="Aucun"/>
          <w:lang w:val="fr-FR"/>
        </w:rPr>
        <w:t>Pour rester coh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rent avec la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marche port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e dans la conf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ration, le p</w:t>
      </w:r>
      <w:r w:rsidRPr="00BE022F">
        <w:rPr>
          <w:rStyle w:val="Aucun"/>
          <w:lang w:val="fr-FR"/>
        </w:rPr>
        <w:t>ô</w:t>
      </w:r>
      <w:r w:rsidRPr="00BE022F">
        <w:rPr>
          <w:rStyle w:val="Aucun"/>
          <w:lang w:val="fr-FR"/>
        </w:rPr>
        <w:t>le travail-sant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, sous la responsabili</w:t>
      </w:r>
      <w:r w:rsidRPr="00BE022F">
        <w:rPr>
          <w:rStyle w:val="Aucun"/>
          <w:lang w:val="fr-FR"/>
        </w:rPr>
        <w:t>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du collectif conf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ral travail-sant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, a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cid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 xml:space="preserve">de lancer un appel </w:t>
      </w:r>
      <w:r w:rsidRPr="00BE022F">
        <w:rPr>
          <w:rStyle w:val="Aucun"/>
          <w:lang w:val="fr-FR"/>
        </w:rPr>
        <w:t xml:space="preserve">à </w:t>
      </w:r>
      <w:r w:rsidRPr="00BE022F">
        <w:rPr>
          <w:rStyle w:val="Aucun"/>
          <w:lang w:val="fr-FR"/>
        </w:rPr>
        <w:t xml:space="preserve">contribution de tous les syndicats et structures des organismes et institutions 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voluant dans les champs de la pr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vention et de la sant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au travail.</w:t>
      </w:r>
    </w:p>
    <w:p w:rsidR="00C57972" w:rsidRPr="00BE022F" w:rsidRDefault="00B238F7">
      <w:pPr>
        <w:pStyle w:val="Corps"/>
        <w:jc w:val="both"/>
        <w:rPr>
          <w:rStyle w:val="Aucun"/>
          <w:lang w:val="fr-FR"/>
        </w:rPr>
      </w:pPr>
      <w:r w:rsidRPr="00BE022F">
        <w:rPr>
          <w:rStyle w:val="Aucun"/>
          <w:lang w:val="fr-FR"/>
        </w:rPr>
        <w:t>La synth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se de cette contribution a</w:t>
      </w:r>
      <w:r w:rsidRPr="00BE022F">
        <w:rPr>
          <w:rStyle w:val="Aucun"/>
          <w:lang w:val="fr-FR"/>
        </w:rPr>
        <w:t xml:space="preserve"> permis de poser clairement les enjeux d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une 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forme compl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te du syst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 xml:space="preserve">me </w:t>
      </w:r>
      <w:r w:rsidRPr="00BA444A">
        <w:rPr>
          <w:rStyle w:val="Aucun"/>
          <w:i/>
          <w:lang w:val="fr-FR"/>
        </w:rPr>
        <w:t>(voir la note aux organisations du 25/09/2018</w:t>
      </w:r>
      <w:r w:rsidRPr="00BA444A">
        <w:rPr>
          <w:rStyle w:val="Aucun"/>
          <w:i/>
          <w:lang w:val="fr-FR"/>
        </w:rPr>
        <w:t> </w:t>
      </w:r>
      <w:r w:rsidRPr="00BA444A">
        <w:rPr>
          <w:rStyle w:val="Aucun"/>
          <w:i/>
          <w:lang w:val="fr-FR"/>
        </w:rPr>
        <w:t xml:space="preserve">: </w:t>
      </w:r>
      <w:r w:rsidRPr="00BA444A">
        <w:rPr>
          <w:rStyle w:val="Aucun"/>
          <w:i/>
          <w:lang w:val="fr-FR"/>
        </w:rPr>
        <w:t>« </w:t>
      </w:r>
      <w:r w:rsidRPr="00BA444A">
        <w:rPr>
          <w:rStyle w:val="Aucun"/>
          <w:i/>
          <w:lang w:val="fr-FR"/>
        </w:rPr>
        <w:t>analyse CGT du rapport Lecocq</w:t>
      </w:r>
      <w:r w:rsidRPr="00BA444A">
        <w:rPr>
          <w:rStyle w:val="Aucun"/>
          <w:i/>
          <w:lang w:val="fr-FR"/>
        </w:rPr>
        <w:t> »</w:t>
      </w:r>
      <w:r w:rsidR="00BA444A" w:rsidRPr="00BA444A">
        <w:rPr>
          <w:rStyle w:val="Aucun"/>
          <w:lang w:val="fr-FR"/>
        </w:rPr>
        <w:t>)</w:t>
      </w:r>
      <w:r w:rsidRPr="00BA444A">
        <w:rPr>
          <w:rStyle w:val="Aucun"/>
          <w:lang w:val="fr-FR"/>
        </w:rPr>
        <w:t>.</w:t>
      </w:r>
      <w:r w:rsidRPr="00BE022F">
        <w:rPr>
          <w:rStyle w:val="Aucun"/>
          <w:lang w:val="fr-FR"/>
        </w:rPr>
        <w:t xml:space="preserve"> </w:t>
      </w:r>
    </w:p>
    <w:p w:rsidR="004F5B57" w:rsidRPr="00BE022F" w:rsidRDefault="00B238F7">
      <w:pPr>
        <w:pStyle w:val="Corps"/>
        <w:jc w:val="both"/>
        <w:rPr>
          <w:rStyle w:val="Aucun"/>
          <w:lang w:val="fr-FR"/>
        </w:rPr>
      </w:pPr>
      <w:r w:rsidRPr="00BE022F">
        <w:rPr>
          <w:rStyle w:val="Aucun"/>
          <w:lang w:val="fr-FR"/>
        </w:rPr>
        <w:t>Nos propositions pour la refonte compl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te du syst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me de sant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au travail s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inscrivent au c</w:t>
      </w:r>
      <w:r w:rsidRPr="00BE022F">
        <w:rPr>
          <w:rStyle w:val="Aucun"/>
          <w:lang w:val="fr-FR"/>
        </w:rPr>
        <w:t>œ</w:t>
      </w:r>
      <w:r w:rsidRPr="00BE022F">
        <w:rPr>
          <w:rStyle w:val="Aucun"/>
          <w:lang w:val="fr-FR"/>
        </w:rPr>
        <w:t>ur de no</w:t>
      </w:r>
      <w:r w:rsidRPr="00BE022F">
        <w:rPr>
          <w:rStyle w:val="Aucun"/>
          <w:lang w:val="fr-FR"/>
        </w:rPr>
        <w:t>tre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marche de reconqu</w:t>
      </w:r>
      <w:r w:rsidRPr="00BE022F">
        <w:rPr>
          <w:rStyle w:val="Aucun"/>
          <w:lang w:val="fr-FR"/>
        </w:rPr>
        <w:t>ê</w:t>
      </w:r>
      <w:r w:rsidRPr="00BE022F">
        <w:rPr>
          <w:rStyle w:val="Aucun"/>
          <w:lang w:val="fr-FR"/>
        </w:rPr>
        <w:t>te en s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appuyant sur 3 piliers essentiels</w:t>
      </w:r>
      <w:r w:rsidRPr="00BE022F">
        <w:rPr>
          <w:rStyle w:val="Aucun"/>
          <w:lang w:val="fr-FR"/>
        </w:rPr>
        <w:t> </w:t>
      </w:r>
      <w:r w:rsidRPr="00BE022F">
        <w:rPr>
          <w:rStyle w:val="Aucun"/>
          <w:lang w:val="fr-FR"/>
        </w:rPr>
        <w:t>:</w:t>
      </w:r>
    </w:p>
    <w:p w:rsidR="004F5B57" w:rsidRPr="00BE022F" w:rsidRDefault="00B238F7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BE022F">
        <w:t xml:space="preserve">La transformation du travail, </w:t>
      </w:r>
      <w:r w:rsidRPr="00BE022F">
        <w:t>œ</w:t>
      </w:r>
      <w:r w:rsidRPr="00BE022F">
        <w:t>uvre des travailleurs eux-m</w:t>
      </w:r>
      <w:r w:rsidRPr="00BE022F">
        <w:t>ê</w:t>
      </w:r>
      <w:r w:rsidRPr="00BE022F">
        <w:t>mes (parce que ce sont eux les experts) afin d</w:t>
      </w:r>
      <w:r w:rsidRPr="00BE022F">
        <w:t>’</w:t>
      </w:r>
      <w:r w:rsidRPr="00BE022F">
        <w:t>arr</w:t>
      </w:r>
      <w:r w:rsidRPr="00BE022F">
        <w:t>ê</w:t>
      </w:r>
      <w:r w:rsidRPr="00BE022F">
        <w:t>ter de s</w:t>
      </w:r>
      <w:r w:rsidRPr="00BE022F">
        <w:t>’</w:t>
      </w:r>
      <w:r w:rsidRPr="00BE022F">
        <w:t>ab</w:t>
      </w:r>
      <w:r w:rsidRPr="00BE022F">
        <w:t>î</w:t>
      </w:r>
      <w:r w:rsidRPr="00BE022F">
        <w:t>mer au boulot et pour s</w:t>
      </w:r>
      <w:r w:rsidRPr="00BE022F">
        <w:t>’</w:t>
      </w:r>
      <w:r w:rsidRPr="00BE022F">
        <w:t xml:space="preserve">y </w:t>
      </w:r>
      <w:r w:rsidRPr="00BE022F">
        <w:t>é</w:t>
      </w:r>
      <w:r w:rsidRPr="00BE022F">
        <w:t>panouir, y trouver du sens, changer son</w:t>
      </w:r>
      <w:r w:rsidRPr="00BE022F">
        <w:t xml:space="preserve"> contenu et son organisation</w:t>
      </w:r>
      <w:r w:rsidRPr="00BE022F">
        <w:t> </w:t>
      </w:r>
      <w:r w:rsidRPr="00BE022F">
        <w:t>;</w:t>
      </w:r>
    </w:p>
    <w:p w:rsidR="004F5B57" w:rsidRPr="00BE022F" w:rsidRDefault="00B238F7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BE022F">
        <w:t>La citoyennet</w:t>
      </w:r>
      <w:r w:rsidRPr="00BE022F">
        <w:t xml:space="preserve">é </w:t>
      </w:r>
      <w:r w:rsidRPr="00BE022F">
        <w:t>et la d</w:t>
      </w:r>
      <w:r w:rsidRPr="00BE022F">
        <w:t>é</w:t>
      </w:r>
      <w:r w:rsidRPr="00BE022F">
        <w:t>mocratie au travail, car ce sont ceux qui font qui savent. Ce qui implique des droits nouveaux pour tous les travailleurs (salari</w:t>
      </w:r>
      <w:r w:rsidRPr="00BE022F">
        <w:t>é</w:t>
      </w:r>
      <w:r w:rsidRPr="00BE022F">
        <w:t>s ou ind</w:t>
      </w:r>
      <w:r w:rsidRPr="00BE022F">
        <w:t>é</w:t>
      </w:r>
      <w:r w:rsidRPr="00BE022F">
        <w:t>pendants)</w:t>
      </w:r>
      <w:r w:rsidRPr="00BE022F">
        <w:t> </w:t>
      </w:r>
      <w:r w:rsidRPr="00BE022F">
        <w:t>;</w:t>
      </w:r>
    </w:p>
    <w:p w:rsidR="004F5B57" w:rsidRPr="00BE022F" w:rsidRDefault="00B238F7">
      <w:pPr>
        <w:pStyle w:val="Paragraphedeliste"/>
        <w:numPr>
          <w:ilvl w:val="0"/>
          <w:numId w:val="5"/>
        </w:numPr>
        <w:jc w:val="both"/>
      </w:pPr>
      <w:r w:rsidRPr="00BE022F">
        <w:t>Sortir les services de sant</w:t>
      </w:r>
      <w:r w:rsidRPr="00BE022F">
        <w:t xml:space="preserve">é </w:t>
      </w:r>
      <w:r w:rsidRPr="00BE022F">
        <w:t xml:space="preserve">au travail des mains </w:t>
      </w:r>
      <w:r w:rsidRPr="00BE022F">
        <w:t>du patronat pour qu</w:t>
      </w:r>
      <w:r w:rsidRPr="00BE022F">
        <w:t>’</w:t>
      </w:r>
      <w:r w:rsidRPr="00BE022F">
        <w:t>ils soient g</w:t>
      </w:r>
      <w:r w:rsidRPr="00BE022F">
        <w:t>é</w:t>
      </w:r>
      <w:r w:rsidRPr="00BE022F">
        <w:t>r</w:t>
      </w:r>
      <w:r w:rsidRPr="00BE022F">
        <w:t>é</w:t>
      </w:r>
      <w:r w:rsidRPr="00BE022F">
        <w:t>s par une s</w:t>
      </w:r>
      <w:r w:rsidRPr="00BE022F">
        <w:t>é</w:t>
      </w:r>
      <w:r w:rsidRPr="00BE022F">
        <w:t>curit</w:t>
      </w:r>
      <w:r w:rsidRPr="00BE022F">
        <w:t xml:space="preserve">é </w:t>
      </w:r>
      <w:r w:rsidRPr="00BE022F">
        <w:t>sociale int</w:t>
      </w:r>
      <w:r w:rsidRPr="00BE022F">
        <w:t>é</w:t>
      </w:r>
      <w:r w:rsidRPr="00BE022F">
        <w:t>grale du 21</w:t>
      </w:r>
      <w:r w:rsidRPr="00BE022F">
        <w:t>è</w:t>
      </w:r>
      <w:r w:rsidRPr="00BE022F">
        <w:t>me si</w:t>
      </w:r>
      <w:r w:rsidRPr="00BE022F">
        <w:t>è</w:t>
      </w:r>
      <w:r w:rsidRPr="00BE022F">
        <w:t>cle, telle que nous voulons la reconqu</w:t>
      </w:r>
      <w:r w:rsidRPr="00BE022F">
        <w:t>é</w:t>
      </w:r>
      <w:r w:rsidRPr="00BE022F">
        <w:t xml:space="preserve">rir </w:t>
      </w:r>
      <w:r w:rsidRPr="00B238F7">
        <w:rPr>
          <w:i/>
        </w:rPr>
        <w:t xml:space="preserve">(livret </w:t>
      </w:r>
      <w:r w:rsidRPr="00B238F7">
        <w:rPr>
          <w:i/>
        </w:rPr>
        <w:t>« </w:t>
      </w:r>
      <w:r w:rsidRPr="00B238F7">
        <w:rPr>
          <w:i/>
        </w:rPr>
        <w:t>pour une s</w:t>
      </w:r>
      <w:r w:rsidRPr="00B238F7">
        <w:rPr>
          <w:i/>
        </w:rPr>
        <w:t>é</w:t>
      </w:r>
      <w:r w:rsidRPr="00B238F7">
        <w:rPr>
          <w:i/>
        </w:rPr>
        <w:t>curit</w:t>
      </w:r>
      <w:r w:rsidRPr="00B238F7">
        <w:rPr>
          <w:i/>
        </w:rPr>
        <w:t xml:space="preserve">é </w:t>
      </w:r>
      <w:r w:rsidRPr="00B238F7">
        <w:rPr>
          <w:i/>
        </w:rPr>
        <w:t>sociale du 21</w:t>
      </w:r>
      <w:r w:rsidRPr="00B238F7">
        <w:rPr>
          <w:i/>
        </w:rPr>
        <w:t>è</w:t>
      </w:r>
      <w:r w:rsidRPr="00B238F7">
        <w:rPr>
          <w:i/>
        </w:rPr>
        <w:t>me si</w:t>
      </w:r>
      <w:r w:rsidRPr="00B238F7">
        <w:rPr>
          <w:i/>
        </w:rPr>
        <w:t>è</w:t>
      </w:r>
      <w:r w:rsidRPr="00B238F7">
        <w:rPr>
          <w:i/>
        </w:rPr>
        <w:t>cle</w:t>
      </w:r>
      <w:r w:rsidRPr="00B238F7">
        <w:rPr>
          <w:i/>
        </w:rPr>
        <w:t> »</w:t>
      </w:r>
      <w:r w:rsidRPr="00B238F7">
        <w:rPr>
          <w:i/>
        </w:rPr>
        <w:t>).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>Ces propositions seront prochainement formalis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es dans un 4 </w:t>
      </w:r>
      <w:proofErr w:type="gramStart"/>
      <w:r w:rsidRPr="00BE022F">
        <w:rPr>
          <w:rStyle w:val="Aucun"/>
          <w:lang w:val="fr-FR"/>
        </w:rPr>
        <w:t>pages</w:t>
      </w:r>
      <w:proofErr w:type="gramEnd"/>
      <w:r w:rsidRPr="00BE022F">
        <w:rPr>
          <w:rStyle w:val="Aucun"/>
          <w:lang w:val="fr-FR"/>
        </w:rPr>
        <w:t>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>La CGT</w:t>
      </w:r>
      <w:r w:rsidRPr="00BE022F">
        <w:rPr>
          <w:rStyle w:val="Aucun"/>
          <w:lang w:val="fr-FR"/>
        </w:rPr>
        <w:t xml:space="preserve"> a pris par ailleurs l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initiative de 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unir les conf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rations. Cette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marche </w:t>
      </w:r>
      <w:r w:rsidRPr="00BE022F">
        <w:rPr>
          <w:rStyle w:val="Aucun"/>
          <w:lang w:val="fr-FR"/>
        </w:rPr>
        <w:t>a</w:t>
      </w:r>
      <w:r w:rsidRPr="00BE022F">
        <w:rPr>
          <w:rStyle w:val="Aucun"/>
          <w:lang w:val="fr-FR"/>
        </w:rPr>
        <w:t xml:space="preserve"> eu un impact tr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s fort sur les autres organisations syndicales et m</w:t>
      </w:r>
      <w:r w:rsidRPr="00BE022F">
        <w:rPr>
          <w:rStyle w:val="Aucun"/>
          <w:lang w:val="fr-FR"/>
        </w:rPr>
        <w:t>ê</w:t>
      </w:r>
      <w:r w:rsidRPr="00BE022F">
        <w:rPr>
          <w:rStyle w:val="Aucun"/>
          <w:lang w:val="fr-FR"/>
        </w:rPr>
        <w:t>me sur les parties adverses. Le patronat, lui-m</w:t>
      </w:r>
      <w:r w:rsidRPr="00BE022F">
        <w:rPr>
          <w:rStyle w:val="Aucun"/>
          <w:lang w:val="fr-FR"/>
        </w:rPr>
        <w:t>ê</w:t>
      </w:r>
      <w:r w:rsidRPr="00BE022F">
        <w:rPr>
          <w:rStyle w:val="Aucun"/>
          <w:lang w:val="fr-FR"/>
        </w:rPr>
        <w:t>me, essaie de justifier ses arguments par de soi-disant re</w:t>
      </w:r>
      <w:r w:rsidRPr="00BE022F">
        <w:rPr>
          <w:rStyle w:val="Aucun"/>
          <w:lang w:val="fr-FR"/>
        </w:rPr>
        <w:t>tour d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acteurs de terrain.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>De ce fait, l</w:t>
      </w:r>
      <w:r w:rsidRPr="00BE022F">
        <w:rPr>
          <w:rStyle w:val="Aucun"/>
          <w:lang w:val="fr-FR"/>
        </w:rPr>
        <w:t>es autres org</w:t>
      </w:r>
      <w:bookmarkStart w:id="0" w:name="_GoBack"/>
      <w:bookmarkEnd w:id="0"/>
      <w:r w:rsidRPr="00BE022F">
        <w:rPr>
          <w:rStyle w:val="Aucun"/>
          <w:lang w:val="fr-FR"/>
        </w:rPr>
        <w:t>anisations syndicales ont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sormais une analyse beaucoup plus nuanc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e du rapport Lecocq. A titre d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exemple, la s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paration du contr</w:t>
      </w:r>
      <w:r w:rsidRPr="00BE022F">
        <w:rPr>
          <w:rStyle w:val="Aucun"/>
          <w:lang w:val="fr-FR"/>
        </w:rPr>
        <w:t>ô</w:t>
      </w:r>
      <w:r w:rsidRPr="00BE022F">
        <w:rPr>
          <w:rStyle w:val="Aucun"/>
          <w:lang w:val="fr-FR"/>
        </w:rPr>
        <w:t>le et du conseil est aujourd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 xml:space="preserve">hui nettement remise en cause. Ce qui nous </w:t>
      </w:r>
      <w:r w:rsidRPr="00BE022F">
        <w:rPr>
          <w:rStyle w:val="Aucun"/>
          <w:lang w:val="fr-FR"/>
        </w:rPr>
        <w:t>permet de reprendre la main sur le projet de 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forme et de garder la dynamique unitaire que nous animons pour l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instant.</w:t>
      </w:r>
    </w:p>
    <w:p w:rsidR="004F5B57" w:rsidRPr="00BE022F" w:rsidRDefault="00B238F7">
      <w:pPr>
        <w:pStyle w:val="Corps"/>
        <w:jc w:val="both"/>
        <w:rPr>
          <w:rStyle w:val="Aucun"/>
          <w:rFonts w:eastAsia="Helvetica" w:cs="Helvetica"/>
          <w:lang w:val="fr-FR"/>
        </w:rPr>
      </w:pPr>
      <w:r w:rsidRPr="00BE022F">
        <w:rPr>
          <w:rStyle w:val="Aucun"/>
          <w:lang w:val="fr-FR"/>
        </w:rPr>
        <w:t xml:space="preserve">Il important, pour la CGT, de prolonger la </w:t>
      </w:r>
      <w:r w:rsidRPr="00BE022F">
        <w:rPr>
          <w:rStyle w:val="Aucun"/>
          <w:lang w:val="fr-FR"/>
        </w:rPr>
        <w:t>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marche </w:t>
      </w:r>
      <w:r w:rsidRPr="00BE022F">
        <w:rPr>
          <w:rStyle w:val="Aucun"/>
          <w:lang w:val="fr-FR"/>
        </w:rPr>
        <w:t>d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 xml:space="preserve">appropriation </w:t>
      </w:r>
      <w:r w:rsidRPr="00BE022F">
        <w:rPr>
          <w:rStyle w:val="Aucun"/>
          <w:lang w:val="fr-FR"/>
        </w:rPr>
        <w:t xml:space="preserve">des enjeux et de nos propositions </w:t>
      </w:r>
      <w:r w:rsidRPr="00BE022F">
        <w:rPr>
          <w:rStyle w:val="Aucun"/>
          <w:lang w:val="fr-FR"/>
        </w:rPr>
        <w:t>aupr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s de tous les syndicats et s</w:t>
      </w:r>
      <w:r w:rsidRPr="00BE022F">
        <w:rPr>
          <w:rStyle w:val="Aucun"/>
          <w:lang w:val="fr-FR"/>
        </w:rPr>
        <w:t>tructures, que ce soit au national comme au niveau 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gional. C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 xml:space="preserve">est un 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l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ment indispensable au rapport de force</w:t>
      </w:r>
      <w:r w:rsidRPr="00BE022F">
        <w:rPr>
          <w:rStyle w:val="Aucun"/>
          <w:lang w:val="fr-FR"/>
        </w:rPr>
        <w:t xml:space="preserve"> à </w:t>
      </w:r>
      <w:r w:rsidRPr="00BE022F">
        <w:rPr>
          <w:rStyle w:val="Aucun"/>
          <w:lang w:val="fr-FR"/>
        </w:rPr>
        <w:t>construire dans la p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riode, puis prochainement lors des futures n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gociations, voire au cours de l</w:t>
      </w:r>
      <w:r w:rsidRPr="00BE022F">
        <w:rPr>
          <w:rStyle w:val="Aucun"/>
          <w:lang w:val="fr-FR"/>
        </w:rPr>
        <w:t>’é</w:t>
      </w:r>
      <w:r w:rsidRPr="00BE022F">
        <w:rPr>
          <w:rStyle w:val="Aucun"/>
          <w:lang w:val="fr-FR"/>
        </w:rPr>
        <w:t xml:space="preserve">ventuelle mise en </w:t>
      </w:r>
      <w:r w:rsidRPr="00BE022F">
        <w:rPr>
          <w:rStyle w:val="Aucun"/>
          <w:lang w:val="fr-FR"/>
        </w:rPr>
        <w:t>œ</w:t>
      </w:r>
      <w:r w:rsidRPr="00BE022F">
        <w:rPr>
          <w:rStyle w:val="Aucun"/>
          <w:lang w:val="fr-FR"/>
        </w:rPr>
        <w:t>uvre de la r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forme.</w:t>
      </w:r>
    </w:p>
    <w:p w:rsidR="004F5B57" w:rsidRPr="00BE022F" w:rsidRDefault="00B238F7">
      <w:pPr>
        <w:pStyle w:val="Corps"/>
        <w:jc w:val="both"/>
        <w:rPr>
          <w:lang w:val="fr-FR"/>
        </w:rPr>
      </w:pPr>
      <w:r w:rsidRPr="00BE022F">
        <w:rPr>
          <w:rStyle w:val="Aucun"/>
          <w:lang w:val="fr-FR"/>
        </w:rPr>
        <w:lastRenderedPageBreak/>
        <w:t>Cela</w:t>
      </w:r>
      <w:r w:rsidRPr="00BE022F">
        <w:rPr>
          <w:rStyle w:val="Aucun"/>
          <w:lang w:val="fr-FR"/>
        </w:rPr>
        <w:t xml:space="preserve"> permettra aussi de d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 xml:space="preserve">finir les 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tapes, dans l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esprit de la double besogne, qu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il nous faudra franchir pour un syst</w:t>
      </w:r>
      <w:r w:rsidRPr="00BE022F">
        <w:rPr>
          <w:rStyle w:val="Aucun"/>
          <w:lang w:val="fr-FR"/>
        </w:rPr>
        <w:t>è</w:t>
      </w:r>
      <w:r w:rsidRPr="00BE022F">
        <w:rPr>
          <w:rStyle w:val="Aucun"/>
          <w:lang w:val="fr-FR"/>
        </w:rPr>
        <w:t>me de sant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au travail int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gr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dans une s</w:t>
      </w:r>
      <w:r w:rsidRPr="00BE022F">
        <w:rPr>
          <w:rStyle w:val="Aucun"/>
          <w:lang w:val="fr-FR"/>
        </w:rPr>
        <w:t>é</w:t>
      </w:r>
      <w:r w:rsidRPr="00BE022F">
        <w:rPr>
          <w:rStyle w:val="Aucun"/>
          <w:lang w:val="fr-FR"/>
        </w:rPr>
        <w:t>curit</w:t>
      </w:r>
      <w:r w:rsidRPr="00BE022F">
        <w:rPr>
          <w:rStyle w:val="Aucun"/>
          <w:lang w:val="fr-FR"/>
        </w:rPr>
        <w:t xml:space="preserve">é </w:t>
      </w:r>
      <w:r w:rsidRPr="00BE022F">
        <w:rPr>
          <w:rStyle w:val="Aucun"/>
          <w:lang w:val="fr-FR"/>
        </w:rPr>
        <w:t>sociale reconquise. C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est en partant du travail que nous pourrons b</w:t>
      </w:r>
      <w:r w:rsidRPr="00BE022F">
        <w:rPr>
          <w:rStyle w:val="Aucun"/>
          <w:lang w:val="fr-FR"/>
        </w:rPr>
        <w:t>â</w:t>
      </w:r>
      <w:r w:rsidRPr="00BE022F">
        <w:rPr>
          <w:rStyle w:val="Aucun"/>
          <w:lang w:val="fr-FR"/>
        </w:rPr>
        <w:t>tir l</w:t>
      </w:r>
      <w:r w:rsidRPr="00BE022F">
        <w:rPr>
          <w:rStyle w:val="Aucun"/>
          <w:lang w:val="fr-FR"/>
        </w:rPr>
        <w:t>’</w:t>
      </w:r>
      <w:r w:rsidRPr="00BE022F">
        <w:rPr>
          <w:rStyle w:val="Aucun"/>
          <w:lang w:val="fr-FR"/>
        </w:rPr>
        <w:t>avenir</w:t>
      </w:r>
      <w:r w:rsidRPr="00BE022F">
        <w:rPr>
          <w:rStyle w:val="Aucun"/>
          <w:lang w:val="fr-FR"/>
        </w:rPr>
        <w:t> </w:t>
      </w:r>
      <w:r w:rsidRPr="00BE022F">
        <w:rPr>
          <w:rStyle w:val="Aucun"/>
          <w:lang w:val="fr-FR"/>
        </w:rPr>
        <w:t>!</w:t>
      </w:r>
    </w:p>
    <w:sectPr w:rsidR="004F5B57" w:rsidRPr="00BE022F" w:rsidSect="00BE022F">
      <w:footerReference w:type="default" r:id="rId9"/>
      <w:pgSz w:w="11900" w:h="16840"/>
      <w:pgMar w:top="993" w:right="1417" w:bottom="567" w:left="1417" w:header="708" w:footer="2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38F7">
      <w:r>
        <w:separator/>
      </w:r>
    </w:p>
  </w:endnote>
  <w:endnote w:type="continuationSeparator" w:id="0">
    <w:p w:rsidR="00000000" w:rsidRDefault="00B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B57" w:rsidRDefault="00B238F7">
    <w:pPr>
      <w:pStyle w:val="Pieddepage"/>
      <w:tabs>
        <w:tab w:val="clear" w:pos="9072"/>
        <w:tab w:val="right" w:pos="9046"/>
      </w:tabs>
      <w:jc w:val="right"/>
    </w:pPr>
    <w:r>
      <w:rPr>
        <w:rStyle w:val="Aucun"/>
        <w:sz w:val="16"/>
        <w:szCs w:val="16"/>
      </w:rPr>
      <w:fldChar w:fldCharType="begin"/>
    </w:r>
    <w:r>
      <w:rPr>
        <w:rStyle w:val="Aucun"/>
        <w:sz w:val="16"/>
        <w:szCs w:val="16"/>
      </w:rPr>
      <w:instrText xml:space="preserve"> PAGE </w:instrText>
    </w:r>
    <w:r>
      <w:rPr>
        <w:rStyle w:val="Aucun"/>
        <w:sz w:val="16"/>
        <w:szCs w:val="16"/>
      </w:rPr>
      <w:fldChar w:fldCharType="separate"/>
    </w:r>
    <w:r>
      <w:rPr>
        <w:rStyle w:val="Aucun"/>
        <w:noProof/>
        <w:sz w:val="16"/>
        <w:szCs w:val="16"/>
      </w:rPr>
      <w:t>2</w:t>
    </w:r>
    <w:r>
      <w:rPr>
        <w:rStyle w:val="Aucu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57" w:rsidRDefault="00B238F7">
      <w:r>
        <w:separator/>
      </w:r>
    </w:p>
  </w:footnote>
  <w:footnote w:type="continuationSeparator" w:id="0">
    <w:p w:rsidR="004F5B57" w:rsidRDefault="00B238F7">
      <w:r>
        <w:continuationSeparator/>
      </w:r>
    </w:p>
  </w:footnote>
  <w:footnote w:type="continuationNotice" w:id="1">
    <w:p w:rsidR="004F5B57" w:rsidRDefault="004F5B57"/>
  </w:footnote>
  <w:footnote w:id="2">
    <w:p w:rsidR="004F5B57" w:rsidRDefault="00B238F7">
      <w:pPr>
        <w:pStyle w:val="Notedebasdepage"/>
      </w:pPr>
      <w:r>
        <w:rPr>
          <w:rStyle w:val="Aucun"/>
          <w:rFonts w:ascii="Helvetica" w:eastAsia="Helvetica" w:hAnsi="Helvetica" w:cs="Helvetica"/>
          <w:vertAlign w:val="superscript"/>
        </w:rPr>
        <w:footnoteRef/>
      </w:r>
      <w:r>
        <w:t xml:space="preserve"> </w:t>
      </w:r>
      <w:r>
        <w:rPr>
          <w:rStyle w:val="Aucun"/>
          <w:rFonts w:ascii="Helvetica" w:hAnsi="Helvetica"/>
          <w:i/>
          <w:iCs/>
          <w:sz w:val="14"/>
          <w:szCs w:val="14"/>
        </w:rPr>
        <w:t>Comit</w:t>
      </w:r>
      <w:r>
        <w:rPr>
          <w:rStyle w:val="Aucun"/>
          <w:rFonts w:ascii="Helvetica" w:hAnsi="Helvetica"/>
          <w:i/>
          <w:iCs/>
          <w:sz w:val="14"/>
          <w:szCs w:val="14"/>
        </w:rPr>
        <w:t xml:space="preserve">é </w:t>
      </w:r>
      <w:r>
        <w:rPr>
          <w:rStyle w:val="Aucun"/>
          <w:rFonts w:ascii="Helvetica" w:hAnsi="Helvetica"/>
          <w:i/>
          <w:iCs/>
          <w:sz w:val="14"/>
          <w:szCs w:val="14"/>
        </w:rPr>
        <w:t>d</w:t>
      </w:r>
      <w:r>
        <w:rPr>
          <w:rStyle w:val="Aucun"/>
          <w:rFonts w:ascii="Helvetica" w:hAnsi="Helvetica"/>
          <w:i/>
          <w:iCs/>
          <w:sz w:val="14"/>
          <w:szCs w:val="14"/>
        </w:rPr>
        <w:t>’</w:t>
      </w:r>
      <w:r>
        <w:rPr>
          <w:rStyle w:val="Aucun"/>
          <w:rFonts w:ascii="Helvetica" w:hAnsi="Helvetica"/>
          <w:i/>
          <w:iCs/>
          <w:sz w:val="14"/>
          <w:szCs w:val="14"/>
        </w:rPr>
        <w:t>Orientation des Conditions de Travail</w:t>
      </w:r>
    </w:p>
  </w:footnote>
  <w:footnote w:id="3">
    <w:p w:rsidR="004F5B57" w:rsidRDefault="00B238F7">
      <w:pPr>
        <w:pStyle w:val="Notedebasdepage"/>
      </w:pPr>
      <w:r>
        <w:rPr>
          <w:rStyle w:val="Aucun"/>
          <w:rFonts w:ascii="Helvetica" w:eastAsia="Helvetica" w:hAnsi="Helvetica" w:cs="Helvetica"/>
          <w:vertAlign w:val="superscript"/>
        </w:rPr>
        <w:footnoteRef/>
      </w:r>
      <w:r>
        <w:t xml:space="preserve"> </w:t>
      </w:r>
      <w:r>
        <w:rPr>
          <w:rStyle w:val="Aucun"/>
          <w:rFonts w:ascii="Helvetica" w:hAnsi="Helvetica"/>
          <w:i/>
          <w:iCs/>
          <w:sz w:val="14"/>
          <w:szCs w:val="14"/>
        </w:rPr>
        <w:t>Groupe Permanent d</w:t>
      </w:r>
      <w:r>
        <w:rPr>
          <w:rStyle w:val="Aucun"/>
          <w:rFonts w:ascii="Helvetica" w:hAnsi="Helvetica"/>
          <w:i/>
          <w:iCs/>
          <w:sz w:val="14"/>
          <w:szCs w:val="14"/>
        </w:rPr>
        <w:t>’</w:t>
      </w:r>
      <w:r>
        <w:rPr>
          <w:rStyle w:val="Aucun"/>
          <w:rFonts w:ascii="Helvetica" w:hAnsi="Helvetica"/>
          <w:i/>
          <w:iCs/>
          <w:sz w:val="14"/>
          <w:szCs w:val="14"/>
        </w:rPr>
        <w:t>Orientation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08F"/>
    <w:multiLevelType w:val="hybridMultilevel"/>
    <w:tmpl w:val="EB7EF8D0"/>
    <w:numStyleLink w:val="Style1import"/>
  </w:abstractNum>
  <w:abstractNum w:abstractNumId="1" w15:restartNumberingAfterBreak="0">
    <w:nsid w:val="2A635F36"/>
    <w:multiLevelType w:val="hybridMultilevel"/>
    <w:tmpl w:val="EB7EF8D0"/>
    <w:styleLink w:val="Style1import"/>
    <w:lvl w:ilvl="0" w:tplc="E9DE69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2C3C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C9F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AFF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045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039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54A4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447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85B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677DF2"/>
    <w:multiLevelType w:val="hybridMultilevel"/>
    <w:tmpl w:val="04A69514"/>
    <w:styleLink w:val="Style2import"/>
    <w:lvl w:ilvl="0" w:tplc="9022DFF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4228C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83FE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AC4B4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A53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444A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E0C54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A6722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C4B34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207F54"/>
    <w:multiLevelType w:val="hybridMultilevel"/>
    <w:tmpl w:val="04A69514"/>
    <w:numStyleLink w:val="Style2import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 w:tplc="805A5C5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765E4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0212E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A8B52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7A701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06FF4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AC13CA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862F8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1440A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57"/>
    <w:rsid w:val="000D623E"/>
    <w:rsid w:val="004F5B57"/>
    <w:rsid w:val="00914E94"/>
    <w:rsid w:val="009909FC"/>
    <w:rsid w:val="00B238F7"/>
    <w:rsid w:val="00BA444A"/>
    <w:rsid w:val="00BE022F"/>
    <w:rsid w:val="00C57972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5099-E5F8-4250-8D03-FF037A7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Notedebasdepage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D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D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3544-744D-4EEE-AFDE-ACC117B2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MEUNIER</dc:creator>
  <cp:lastModifiedBy>I.MEUNIER</cp:lastModifiedBy>
  <cp:revision>6</cp:revision>
  <cp:lastPrinted>2019-03-15T14:44:00Z</cp:lastPrinted>
  <dcterms:created xsi:type="dcterms:W3CDTF">2019-03-15T12:34:00Z</dcterms:created>
  <dcterms:modified xsi:type="dcterms:W3CDTF">2019-03-15T14:45:00Z</dcterms:modified>
</cp:coreProperties>
</file>